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635A" w14:textId="1C3878B9" w:rsidR="00613738" w:rsidRPr="00613738" w:rsidRDefault="00613738" w:rsidP="00613738">
      <w:pPr>
        <w:spacing w:before="100" w:beforeAutospacing="1" w:after="100" w:afterAutospacing="1" w:line="240" w:lineRule="auto"/>
        <w:rPr>
          <w:rFonts w:ascii="Gill Sans MT" w:eastAsia="Times New Roman" w:hAnsi="Gill Sans MT" w:cs="Times New Roman"/>
          <w:b/>
          <w:bCs/>
          <w:sz w:val="24"/>
          <w:szCs w:val="24"/>
        </w:rPr>
      </w:pPr>
      <w:r w:rsidRPr="00613738">
        <w:rPr>
          <w:rFonts w:ascii="Gill Sans MT" w:eastAsia="Times New Roman" w:hAnsi="Gill Sans MT" w:cs="Times New Roman"/>
          <w:b/>
          <w:bCs/>
          <w:sz w:val="24"/>
          <w:szCs w:val="24"/>
        </w:rPr>
        <w:t>To</w:t>
      </w:r>
      <w:r w:rsidRPr="00613738">
        <w:rPr>
          <w:rFonts w:ascii="Gill Sans MT" w:eastAsia="Times New Roman" w:hAnsi="Gill Sans MT" w:cs="Times New Roman"/>
          <w:sz w:val="24"/>
          <w:szCs w:val="24"/>
        </w:rPr>
        <w:t>: The Management</w:t>
      </w:r>
      <w:r w:rsidRPr="00613738">
        <w:rPr>
          <w:rFonts w:ascii="Gill Sans MT" w:eastAsia="Times New Roman" w:hAnsi="Gill Sans MT" w:cs="Times New Roman"/>
          <w:sz w:val="24"/>
          <w:szCs w:val="24"/>
        </w:rPr>
        <w:br/>
      </w:r>
      <w:r w:rsidRPr="00613738">
        <w:rPr>
          <w:rFonts w:ascii="Gill Sans MT" w:eastAsia="Times New Roman" w:hAnsi="Gill Sans MT" w:cs="Times New Roman"/>
          <w:b/>
          <w:bCs/>
          <w:sz w:val="24"/>
          <w:szCs w:val="24"/>
        </w:rPr>
        <w:t>From</w:t>
      </w:r>
      <w:r w:rsidRPr="00613738">
        <w:rPr>
          <w:rFonts w:ascii="Gill Sans MT" w:eastAsia="Times New Roman" w:hAnsi="Gill Sans MT" w:cs="Times New Roman"/>
          <w:sz w:val="24"/>
          <w:szCs w:val="24"/>
        </w:rPr>
        <w:t>: Investment Department</w:t>
      </w:r>
      <w:r w:rsidRPr="00613738">
        <w:rPr>
          <w:rFonts w:ascii="Gill Sans MT" w:eastAsia="Times New Roman" w:hAnsi="Gill Sans MT" w:cs="Times New Roman"/>
          <w:sz w:val="24"/>
          <w:szCs w:val="24"/>
        </w:rPr>
        <w:br/>
      </w:r>
      <w:r w:rsidRPr="00613738">
        <w:rPr>
          <w:rFonts w:ascii="Gill Sans MT" w:eastAsia="Times New Roman" w:hAnsi="Gill Sans MT" w:cs="Times New Roman"/>
          <w:b/>
          <w:bCs/>
          <w:sz w:val="24"/>
          <w:szCs w:val="24"/>
        </w:rPr>
        <w:t>Date</w:t>
      </w:r>
      <w:r w:rsidRPr="00613738">
        <w:rPr>
          <w:rFonts w:ascii="Gill Sans MT" w:eastAsia="Times New Roman" w:hAnsi="Gill Sans MT" w:cs="Times New Roman"/>
          <w:sz w:val="24"/>
          <w:szCs w:val="24"/>
        </w:rPr>
        <w:t xml:space="preserve">: Date: </w:t>
      </w:r>
      <w:r w:rsidRPr="00613738">
        <w:rPr>
          <w:rFonts w:ascii="Gill Sans MT" w:eastAsia="Times New Roman" w:hAnsi="Gill Sans MT" w:cs="Times New Roman"/>
          <w:sz w:val="24"/>
          <w:szCs w:val="24"/>
        </w:rPr>
        <w:t>18/12/2025</w:t>
      </w:r>
    </w:p>
    <w:p w14:paraId="14DA449F" w14:textId="113515C5" w:rsidR="00613738" w:rsidRPr="00613738" w:rsidRDefault="00613738" w:rsidP="00613738">
      <w:pPr>
        <w:spacing w:before="100" w:beforeAutospacing="1" w:after="100" w:afterAutospacing="1" w:line="240" w:lineRule="auto"/>
        <w:rPr>
          <w:rFonts w:ascii="Gill Sans MT" w:eastAsia="Times New Roman" w:hAnsi="Gill Sans MT" w:cs="Times New Roman"/>
          <w:sz w:val="24"/>
          <w:szCs w:val="24"/>
        </w:rPr>
      </w:pPr>
      <w:r w:rsidRPr="00613738">
        <w:rPr>
          <w:rFonts w:ascii="Gill Sans MT" w:eastAsia="Times New Roman" w:hAnsi="Gill Sans MT" w:cs="Times New Roman"/>
          <w:b/>
          <w:bCs/>
          <w:sz w:val="24"/>
          <w:szCs w:val="24"/>
        </w:rPr>
        <w:t>Subject</w:t>
      </w:r>
      <w:r w:rsidRPr="00613738">
        <w:rPr>
          <w:rFonts w:ascii="Gill Sans MT" w:eastAsia="Times New Roman" w:hAnsi="Gill Sans MT" w:cs="Times New Roman"/>
          <w:sz w:val="24"/>
          <w:szCs w:val="24"/>
        </w:rPr>
        <w:t xml:space="preserve">: </w:t>
      </w:r>
      <w:r w:rsidRPr="00613738">
        <w:rPr>
          <w:rFonts w:ascii="Gill Sans MT" w:eastAsia="Times New Roman" w:hAnsi="Gill Sans MT" w:cs="Times New Roman"/>
          <w:sz w:val="23"/>
          <w:szCs w:val="23"/>
        </w:rPr>
        <w:t xml:space="preserve"> </w:t>
      </w:r>
      <w:r w:rsidRPr="00613738">
        <w:rPr>
          <w:rFonts w:ascii="Gill Sans MT" w:eastAsia="Times New Roman" w:hAnsi="Gill Sans MT" w:cs="Times New Roman"/>
          <w:b/>
          <w:bCs/>
          <w:sz w:val="23"/>
          <w:szCs w:val="23"/>
        </w:rPr>
        <w:t xml:space="preserve">REQUEST FOR </w:t>
      </w:r>
      <w:r w:rsidRPr="00613738">
        <w:rPr>
          <w:rFonts w:ascii="Gill Sans MT" w:eastAsia="Times New Roman" w:hAnsi="Gill Sans MT" w:cs="Times New Roman"/>
          <w:b/>
          <w:bCs/>
          <w:sz w:val="23"/>
          <w:szCs w:val="23"/>
        </w:rPr>
        <w:t xml:space="preserve">APPROVAL FOR THE HIRE OF EXTERNAL CONSULTANCY SERVICES FOR THE LAND DEVELOPMENT OPTIONS </w:t>
      </w:r>
      <w:r w:rsidRPr="00613738">
        <w:rPr>
          <w:rFonts w:ascii="Gill Sans MT" w:eastAsia="Times New Roman" w:hAnsi="Gill Sans MT" w:cs="Times New Roman"/>
          <w:b/>
          <w:bCs/>
          <w:sz w:val="23"/>
          <w:szCs w:val="23"/>
        </w:rPr>
        <w:t xml:space="preserve"> </w:t>
      </w:r>
      <w:r w:rsidRPr="00613738">
        <w:rPr>
          <w:rFonts w:ascii="Gill Sans MT" w:eastAsia="Times New Roman" w:hAnsi="Gill Sans MT" w:cs="Times New Roman"/>
          <w:sz w:val="24"/>
          <w:szCs w:val="24"/>
        </w:rPr>
        <w:pict w14:anchorId="10E2480A">
          <v:rect id="_x0000_i1025" style="width:0;height:1.5pt" o:hralign="center" o:hrstd="t" o:hr="t" fillcolor="#a0a0a0" stroked="f"/>
        </w:pict>
      </w:r>
    </w:p>
    <w:p w14:paraId="06CBFEC5" w14:textId="1BD4A3CE" w:rsidR="00613738" w:rsidRPr="00613738" w:rsidRDefault="00613738" w:rsidP="00DA59BD">
      <w:pPr>
        <w:pStyle w:val="NormalWeb"/>
        <w:jc w:val="both"/>
        <w:rPr>
          <w:rFonts w:ascii="Gill Sans MT" w:hAnsi="Gill Sans MT"/>
        </w:rPr>
      </w:pPr>
      <w:r w:rsidRPr="00613738">
        <w:rPr>
          <w:rFonts w:ascii="Gill Sans MT" w:hAnsi="Gill Sans MT"/>
        </w:rPr>
        <w:t>Subject matter refers.</w:t>
      </w:r>
      <w:r>
        <w:rPr>
          <w:rFonts w:ascii="Gill Sans MT" w:hAnsi="Gill Sans MT"/>
        </w:rPr>
        <w:t xml:space="preserve"> </w:t>
      </w:r>
      <w:r w:rsidRPr="00613738">
        <w:rPr>
          <w:rFonts w:ascii="Gill Sans MT" w:hAnsi="Gill Sans MT"/>
        </w:rPr>
        <w:t xml:space="preserve">Ngali Holdings owns two strategic land holdings in prime urban locations of: </w:t>
      </w:r>
    </w:p>
    <w:p w14:paraId="5AF97E4B" w14:textId="77777777" w:rsidR="00613738" w:rsidRPr="00613738" w:rsidRDefault="00613738" w:rsidP="00DA59BD">
      <w:pPr>
        <w:numPr>
          <w:ilvl w:val="0"/>
          <w:numId w:val="3"/>
        </w:numPr>
        <w:spacing w:before="100" w:beforeAutospacing="1" w:after="100" w:afterAutospacing="1" w:line="240" w:lineRule="auto"/>
        <w:contextualSpacing/>
        <w:jc w:val="both"/>
        <w:rPr>
          <w:rFonts w:ascii="Gill Sans MT" w:eastAsia="Times New Roman" w:hAnsi="Gill Sans MT" w:cs="Times New Roman"/>
          <w:sz w:val="24"/>
          <w:szCs w:val="24"/>
        </w:rPr>
      </w:pPr>
      <w:r w:rsidRPr="00613738">
        <w:rPr>
          <w:rFonts w:ascii="Gill Sans MT" w:eastAsia="Times New Roman" w:hAnsi="Gill Sans MT" w:cs="Times New Roman"/>
          <w:sz w:val="24"/>
          <w:szCs w:val="24"/>
        </w:rPr>
        <w:t>Kacyiru Sector, Inyange Village, Kibaza cell, Gasabo District, Kigali city, and at Kacyiru below Immigration and RBA Budlings apportioned into four UPIs i.e., UP11/02/07/03/410, UPI 1/02/07/03/411, UPI 1/02/07/03/412 and UPI 1/02/07/03/413.</w:t>
      </w:r>
    </w:p>
    <w:p w14:paraId="306EDBF6" w14:textId="59528559" w:rsidR="00613738" w:rsidRPr="00613738" w:rsidRDefault="00613738" w:rsidP="00DA59BD">
      <w:pPr>
        <w:numPr>
          <w:ilvl w:val="0"/>
          <w:numId w:val="3"/>
        </w:numPr>
        <w:spacing w:before="100" w:beforeAutospacing="1" w:after="100" w:afterAutospacing="1" w:line="240" w:lineRule="auto"/>
        <w:contextualSpacing/>
        <w:jc w:val="both"/>
        <w:rPr>
          <w:rFonts w:ascii="Gill Sans MT" w:eastAsia="Times New Roman" w:hAnsi="Gill Sans MT" w:cs="Times New Roman"/>
          <w:sz w:val="24"/>
          <w:szCs w:val="24"/>
        </w:rPr>
      </w:pPr>
      <w:r w:rsidRPr="00613738">
        <w:rPr>
          <w:rFonts w:ascii="Gill Sans MT" w:eastAsia="Times New Roman" w:hAnsi="Gill Sans MT" w:cs="Times New Roman"/>
          <w:sz w:val="24"/>
          <w:szCs w:val="24"/>
        </w:rPr>
        <w:t>Niboye Sector, Kicukiro District UPI 1/03/09/01/240, Gatare Cell Taba Village with C1-Mixed use zone. (</w:t>
      </w:r>
      <w:r w:rsidRPr="00613738">
        <w:rPr>
          <w:rFonts w:ascii="Gill Sans MT" w:eastAsia="Times New Roman" w:hAnsi="Gill Sans MT" w:cs="Times New Roman"/>
          <w:b/>
          <w:bCs/>
          <w:sz w:val="24"/>
          <w:szCs w:val="24"/>
        </w:rPr>
        <w:t>Size 1,073Sqm)</w:t>
      </w:r>
    </w:p>
    <w:p w14:paraId="4DD28883" w14:textId="77777777" w:rsidR="00613738" w:rsidRPr="00613738" w:rsidRDefault="00613738" w:rsidP="00DA59BD">
      <w:pPr>
        <w:spacing w:before="100" w:beforeAutospacing="1" w:after="100" w:afterAutospacing="1" w:line="240" w:lineRule="auto"/>
        <w:ind w:left="720"/>
        <w:contextualSpacing/>
        <w:jc w:val="both"/>
        <w:rPr>
          <w:rFonts w:ascii="Gill Sans MT" w:eastAsia="Times New Roman" w:hAnsi="Gill Sans MT" w:cs="Times New Roman"/>
          <w:sz w:val="24"/>
          <w:szCs w:val="24"/>
        </w:rPr>
      </w:pPr>
    </w:p>
    <w:p w14:paraId="4CD77BF1" w14:textId="55F29536" w:rsidR="00613738" w:rsidRPr="00CA6515" w:rsidRDefault="00613738" w:rsidP="00DA59BD">
      <w:pPr>
        <w:spacing w:before="100" w:beforeAutospacing="1" w:after="100" w:afterAutospacing="1" w:line="240" w:lineRule="auto"/>
        <w:jc w:val="both"/>
        <w:rPr>
          <w:rFonts w:ascii="Gill Sans MT" w:eastAsia="Times New Roman" w:hAnsi="Gill Sans MT" w:cs="Times New Roman"/>
          <w:sz w:val="24"/>
          <w:szCs w:val="24"/>
        </w:rPr>
      </w:pPr>
      <w:r w:rsidRPr="00613738">
        <w:rPr>
          <w:rFonts w:ascii="Gill Sans MT" w:eastAsia="Times New Roman" w:hAnsi="Gill Sans MT" w:cs="Times New Roman"/>
          <w:sz w:val="24"/>
          <w:szCs w:val="24"/>
        </w:rPr>
        <w:t xml:space="preserve">Ngali Holdings has earmarked these two prime lands for developments in line with the City of Kigali development strategy and urban planning guidelines and to align with CoK Targets. </w:t>
      </w:r>
      <w:r>
        <w:rPr>
          <w:rFonts w:ascii="Gill Sans MT" w:eastAsia="Times New Roman" w:hAnsi="Gill Sans MT" w:cs="Times New Roman"/>
          <w:sz w:val="24"/>
          <w:szCs w:val="24"/>
        </w:rPr>
        <w:t xml:space="preserve">As Ngali does not have internal capacity to advise on the Optimal development option for these two prime parcels, it should seek the services of an experienced consultancy firm to advise on the Best possible option. </w:t>
      </w:r>
    </w:p>
    <w:p w14:paraId="201E0920" w14:textId="65AA821F" w:rsidR="00613738" w:rsidRPr="00613738" w:rsidRDefault="00613738" w:rsidP="00DA59BD">
      <w:pPr>
        <w:spacing w:after="160" w:line="259" w:lineRule="auto"/>
        <w:jc w:val="both"/>
        <w:rPr>
          <w:rFonts w:ascii="Gill Sans MT" w:eastAsia="Times New Roman" w:hAnsi="Gill Sans MT" w:cs="Times New Roman"/>
          <w:sz w:val="24"/>
          <w:szCs w:val="24"/>
        </w:rPr>
      </w:pPr>
      <w:r w:rsidRPr="00613738">
        <w:rPr>
          <w:rFonts w:ascii="Gill Sans MT" w:eastAsia="Times New Roman" w:hAnsi="Gill Sans MT" w:cs="Times New Roman"/>
          <w:sz w:val="24"/>
          <w:szCs w:val="24"/>
        </w:rPr>
        <w:t xml:space="preserve">The consultancy </w:t>
      </w:r>
      <w:r>
        <w:rPr>
          <w:rFonts w:ascii="Gill Sans MT" w:eastAsia="Times New Roman" w:hAnsi="Gill Sans MT" w:cs="Times New Roman"/>
          <w:sz w:val="24"/>
          <w:szCs w:val="24"/>
        </w:rPr>
        <w:t xml:space="preserve">services will facilitate Ngali in </w:t>
      </w:r>
      <w:r w:rsidRPr="00613738">
        <w:rPr>
          <w:rFonts w:ascii="Gill Sans MT" w:eastAsia="Times New Roman" w:hAnsi="Gill Sans MT" w:cs="Times New Roman"/>
          <w:sz w:val="24"/>
          <w:szCs w:val="24"/>
        </w:rPr>
        <w:t>assess</w:t>
      </w:r>
      <w:r>
        <w:rPr>
          <w:rFonts w:ascii="Gill Sans MT" w:eastAsia="Times New Roman" w:hAnsi="Gill Sans MT" w:cs="Times New Roman"/>
          <w:sz w:val="24"/>
          <w:szCs w:val="24"/>
        </w:rPr>
        <w:t xml:space="preserve">ing the right and </w:t>
      </w:r>
      <w:r w:rsidRPr="00613738">
        <w:rPr>
          <w:rFonts w:ascii="Gill Sans MT" w:eastAsia="Times New Roman" w:hAnsi="Gill Sans MT" w:cs="Times New Roman"/>
          <w:sz w:val="24"/>
          <w:szCs w:val="24"/>
        </w:rPr>
        <w:t>development</w:t>
      </w:r>
      <w:r w:rsidRPr="00613738">
        <w:rPr>
          <w:rFonts w:ascii="Gill Sans MT" w:eastAsia="Times New Roman" w:hAnsi="Gill Sans MT" w:cs="Times New Roman"/>
          <w:sz w:val="24"/>
          <w:szCs w:val="24"/>
        </w:rPr>
        <w:t xml:space="preserve"> potential</w:t>
      </w:r>
      <w:r>
        <w:rPr>
          <w:rFonts w:ascii="Gill Sans MT" w:eastAsia="Times New Roman" w:hAnsi="Gill Sans MT" w:cs="Times New Roman"/>
          <w:sz w:val="24"/>
          <w:szCs w:val="24"/>
        </w:rPr>
        <w:t xml:space="preserve"> option</w:t>
      </w:r>
      <w:r w:rsidRPr="00613738">
        <w:rPr>
          <w:rFonts w:ascii="Gill Sans MT" w:eastAsia="Times New Roman" w:hAnsi="Gill Sans MT" w:cs="Times New Roman"/>
          <w:sz w:val="24"/>
          <w:szCs w:val="24"/>
        </w:rPr>
        <w:t xml:space="preserve">, prepare viable development scenarios, propose </w:t>
      </w:r>
      <w:r>
        <w:rPr>
          <w:rFonts w:ascii="Gill Sans MT" w:eastAsia="Times New Roman" w:hAnsi="Gill Sans MT" w:cs="Times New Roman"/>
          <w:sz w:val="24"/>
          <w:szCs w:val="24"/>
        </w:rPr>
        <w:t>to Ngali the best investment</w:t>
      </w:r>
      <w:r w:rsidRPr="00613738">
        <w:rPr>
          <w:rFonts w:ascii="Gill Sans MT" w:eastAsia="Times New Roman" w:hAnsi="Gill Sans MT" w:cs="Times New Roman"/>
          <w:sz w:val="24"/>
          <w:szCs w:val="24"/>
        </w:rPr>
        <w:t xml:space="preserve"> and financing strategies</w:t>
      </w:r>
      <w:r>
        <w:rPr>
          <w:rFonts w:ascii="Gill Sans MT" w:eastAsia="Times New Roman" w:hAnsi="Gill Sans MT" w:cs="Times New Roman"/>
          <w:sz w:val="24"/>
          <w:szCs w:val="24"/>
        </w:rPr>
        <w:t xml:space="preserve"> aimed at</w:t>
      </w:r>
      <w:r w:rsidRPr="00613738">
        <w:rPr>
          <w:rFonts w:ascii="Gill Sans MT" w:eastAsia="Times New Roman" w:hAnsi="Gill Sans MT" w:cs="Times New Roman"/>
          <w:sz w:val="24"/>
          <w:szCs w:val="24"/>
        </w:rPr>
        <w:t xml:space="preserve"> positioning the</w:t>
      </w:r>
      <w:r>
        <w:rPr>
          <w:rFonts w:ascii="Gill Sans MT" w:eastAsia="Times New Roman" w:hAnsi="Gill Sans MT" w:cs="Times New Roman"/>
          <w:sz w:val="24"/>
          <w:szCs w:val="24"/>
        </w:rPr>
        <w:t xml:space="preserve">se two parcels of </w:t>
      </w:r>
      <w:r w:rsidRPr="00613738">
        <w:rPr>
          <w:rFonts w:ascii="Gill Sans MT" w:eastAsia="Times New Roman" w:hAnsi="Gill Sans MT" w:cs="Times New Roman"/>
          <w:sz w:val="24"/>
          <w:szCs w:val="24"/>
        </w:rPr>
        <w:t>land for optimal use and value creation.</w:t>
      </w:r>
      <w:r w:rsidR="00CA6515">
        <w:rPr>
          <w:rFonts w:ascii="Gill Sans MT" w:eastAsia="Times New Roman" w:hAnsi="Gill Sans MT" w:cs="Times New Roman"/>
          <w:sz w:val="24"/>
          <w:szCs w:val="24"/>
        </w:rPr>
        <w:t xml:space="preserve"> And the outcome of this will </w:t>
      </w:r>
      <w:r w:rsidRPr="00613738">
        <w:rPr>
          <w:rFonts w:ascii="Gill Sans MT" w:hAnsi="Gill Sans MT"/>
          <w:kern w:val="2"/>
          <w:sz w:val="24"/>
          <w:szCs w:val="24"/>
          <w14:ligatures w14:val="standardContextual"/>
        </w:rPr>
        <w:t>enable Ngali to make informed strategic decision on the optimal use of the identified land parcels.</w:t>
      </w:r>
      <w:r w:rsidR="00DA59BD">
        <w:rPr>
          <w:rFonts w:ascii="Gill Sans MT" w:hAnsi="Gill Sans MT"/>
          <w:kern w:val="2"/>
          <w:sz w:val="24"/>
          <w:szCs w:val="24"/>
          <w14:ligatures w14:val="standardContextual"/>
        </w:rPr>
        <w:t xml:space="preserve"> In general, the output of the consultancy</w:t>
      </w:r>
    </w:p>
    <w:p w14:paraId="5D77A2E9" w14:textId="77777777" w:rsidR="00CA6515" w:rsidRDefault="00CA6515" w:rsidP="00613738">
      <w:pPr>
        <w:numPr>
          <w:ilvl w:val="0"/>
          <w:numId w:val="4"/>
        </w:numPr>
        <w:spacing w:before="100" w:beforeAutospacing="1" w:after="100" w:afterAutospacing="1" w:line="240" w:lineRule="auto"/>
        <w:rPr>
          <w:rFonts w:ascii="Gill Sans MT" w:eastAsia="Times New Roman" w:hAnsi="Gill Sans MT" w:cs="Times New Roman"/>
          <w:sz w:val="24"/>
          <w:szCs w:val="24"/>
        </w:rPr>
      </w:pPr>
      <w:r>
        <w:rPr>
          <w:rFonts w:ascii="Gill Sans MT" w:eastAsia="Times New Roman" w:hAnsi="Gill Sans MT" w:cs="Times New Roman"/>
          <w:sz w:val="24"/>
          <w:szCs w:val="24"/>
        </w:rPr>
        <w:t xml:space="preserve">A clearly articulated best/optimal </w:t>
      </w:r>
      <w:r w:rsidR="00613738" w:rsidRPr="00613738">
        <w:rPr>
          <w:rFonts w:ascii="Gill Sans MT" w:eastAsia="Times New Roman" w:hAnsi="Gill Sans MT" w:cs="Times New Roman"/>
          <w:sz w:val="24"/>
          <w:szCs w:val="24"/>
        </w:rPr>
        <w:t xml:space="preserve">development </w:t>
      </w:r>
      <w:r>
        <w:rPr>
          <w:rFonts w:ascii="Gill Sans MT" w:eastAsia="Times New Roman" w:hAnsi="Gill Sans MT" w:cs="Times New Roman"/>
          <w:sz w:val="24"/>
          <w:szCs w:val="24"/>
        </w:rPr>
        <w:t xml:space="preserve">Option </w:t>
      </w:r>
    </w:p>
    <w:p w14:paraId="3456F85D" w14:textId="05796DC3" w:rsidR="00613738" w:rsidRPr="00613738" w:rsidRDefault="00CA6515" w:rsidP="00613738">
      <w:pPr>
        <w:numPr>
          <w:ilvl w:val="0"/>
          <w:numId w:val="4"/>
        </w:numPr>
        <w:spacing w:before="100" w:beforeAutospacing="1" w:after="100" w:afterAutospacing="1" w:line="240" w:lineRule="auto"/>
        <w:rPr>
          <w:rFonts w:ascii="Gill Sans MT" w:eastAsia="Times New Roman" w:hAnsi="Gill Sans MT" w:cs="Times New Roman"/>
          <w:sz w:val="24"/>
          <w:szCs w:val="24"/>
        </w:rPr>
      </w:pPr>
      <w:r>
        <w:rPr>
          <w:rFonts w:ascii="Gill Sans MT" w:eastAsia="Times New Roman" w:hAnsi="Gill Sans MT" w:cs="Times New Roman"/>
          <w:sz w:val="24"/>
          <w:szCs w:val="24"/>
        </w:rPr>
        <w:t>A d</w:t>
      </w:r>
      <w:r w:rsidRPr="00613738">
        <w:rPr>
          <w:rFonts w:ascii="Gill Sans MT" w:eastAsia="Times New Roman" w:hAnsi="Gill Sans MT" w:cs="Times New Roman"/>
          <w:sz w:val="24"/>
          <w:szCs w:val="24"/>
        </w:rPr>
        <w:t>evelop</w:t>
      </w:r>
      <w:r>
        <w:rPr>
          <w:rFonts w:ascii="Gill Sans MT" w:eastAsia="Times New Roman" w:hAnsi="Gill Sans MT" w:cs="Times New Roman"/>
          <w:sz w:val="24"/>
          <w:szCs w:val="24"/>
        </w:rPr>
        <w:t xml:space="preserve">ed </w:t>
      </w:r>
      <w:r w:rsidRPr="00613738">
        <w:rPr>
          <w:rFonts w:ascii="Gill Sans MT" w:eastAsia="Times New Roman" w:hAnsi="Gill Sans MT" w:cs="Times New Roman"/>
          <w:sz w:val="24"/>
          <w:szCs w:val="24"/>
        </w:rPr>
        <w:t>feasible</w:t>
      </w:r>
      <w:r w:rsidR="00613738" w:rsidRPr="00613738">
        <w:rPr>
          <w:rFonts w:ascii="Gill Sans MT" w:eastAsia="Times New Roman" w:hAnsi="Gill Sans MT" w:cs="Times New Roman"/>
          <w:sz w:val="24"/>
          <w:szCs w:val="24"/>
        </w:rPr>
        <w:t>, sustainable, and market-responsive development concepts and options;</w:t>
      </w:r>
    </w:p>
    <w:p w14:paraId="0782E84C" w14:textId="1494AC2E" w:rsidR="00613738" w:rsidRPr="00613738" w:rsidRDefault="00CA6515" w:rsidP="00613738">
      <w:pPr>
        <w:numPr>
          <w:ilvl w:val="0"/>
          <w:numId w:val="4"/>
        </w:numPr>
        <w:spacing w:before="100" w:beforeAutospacing="1" w:after="100" w:afterAutospacing="1" w:line="240" w:lineRule="auto"/>
        <w:rPr>
          <w:rFonts w:ascii="Gill Sans MT" w:eastAsia="Times New Roman" w:hAnsi="Gill Sans MT" w:cs="Times New Roman"/>
          <w:sz w:val="24"/>
          <w:szCs w:val="24"/>
        </w:rPr>
      </w:pPr>
      <w:r>
        <w:rPr>
          <w:rFonts w:ascii="Gill Sans MT" w:eastAsia="Times New Roman" w:hAnsi="Gill Sans MT" w:cs="Times New Roman"/>
          <w:sz w:val="24"/>
          <w:szCs w:val="24"/>
        </w:rPr>
        <w:t>A r</w:t>
      </w:r>
      <w:r w:rsidR="00613738" w:rsidRPr="00613738">
        <w:rPr>
          <w:rFonts w:ascii="Gill Sans MT" w:eastAsia="Times New Roman" w:hAnsi="Gill Sans MT" w:cs="Times New Roman"/>
          <w:sz w:val="24"/>
          <w:szCs w:val="24"/>
        </w:rPr>
        <w:t>ecommend</w:t>
      </w:r>
      <w:r>
        <w:rPr>
          <w:rFonts w:ascii="Gill Sans MT" w:eastAsia="Times New Roman" w:hAnsi="Gill Sans MT" w:cs="Times New Roman"/>
          <w:sz w:val="24"/>
          <w:szCs w:val="24"/>
        </w:rPr>
        <w:t>ed</w:t>
      </w:r>
      <w:r w:rsidR="00613738" w:rsidRPr="00613738">
        <w:rPr>
          <w:rFonts w:ascii="Gill Sans MT" w:eastAsia="Times New Roman" w:hAnsi="Gill Sans MT" w:cs="Times New Roman"/>
          <w:sz w:val="24"/>
          <w:szCs w:val="24"/>
        </w:rPr>
        <w:t xml:space="preserve"> optimal land use and appropriate project structuring options (such as Public–Private Partnerships, Joint Ventures, lease arrangements, or direct development);</w:t>
      </w:r>
    </w:p>
    <w:p w14:paraId="44165D49" w14:textId="50E326DB" w:rsidR="00613738" w:rsidRPr="00613738" w:rsidRDefault="00CA6515" w:rsidP="00613738">
      <w:pPr>
        <w:numPr>
          <w:ilvl w:val="0"/>
          <w:numId w:val="4"/>
        </w:numPr>
        <w:spacing w:before="100" w:beforeAutospacing="1" w:after="100" w:afterAutospacing="1" w:line="240" w:lineRule="auto"/>
        <w:rPr>
          <w:rFonts w:ascii="Gill Sans MT" w:eastAsia="Times New Roman" w:hAnsi="Gill Sans MT" w:cs="Times New Roman"/>
          <w:sz w:val="24"/>
          <w:szCs w:val="24"/>
        </w:rPr>
      </w:pPr>
      <w:r>
        <w:rPr>
          <w:rFonts w:ascii="Gill Sans MT" w:eastAsia="Times New Roman" w:hAnsi="Gill Sans MT" w:cs="Times New Roman"/>
          <w:sz w:val="24"/>
          <w:szCs w:val="24"/>
        </w:rPr>
        <w:t xml:space="preserve">A </w:t>
      </w:r>
      <w:r w:rsidR="00613738" w:rsidRPr="00613738">
        <w:rPr>
          <w:rFonts w:ascii="Gill Sans MT" w:eastAsia="Times New Roman" w:hAnsi="Gill Sans MT" w:cs="Times New Roman"/>
          <w:sz w:val="24"/>
          <w:szCs w:val="24"/>
        </w:rPr>
        <w:t>Propose</w:t>
      </w:r>
      <w:r>
        <w:rPr>
          <w:rFonts w:ascii="Gill Sans MT" w:eastAsia="Times New Roman" w:hAnsi="Gill Sans MT" w:cs="Times New Roman"/>
          <w:sz w:val="24"/>
          <w:szCs w:val="24"/>
        </w:rPr>
        <w:t>d</w:t>
      </w:r>
      <w:r w:rsidR="00613738" w:rsidRPr="00613738">
        <w:rPr>
          <w:rFonts w:ascii="Gill Sans MT" w:eastAsia="Times New Roman" w:hAnsi="Gill Sans MT" w:cs="Times New Roman"/>
          <w:sz w:val="24"/>
          <w:szCs w:val="24"/>
        </w:rPr>
        <w:t xml:space="preserve"> viable investment and financing strategies aimed at mobilizing private sector capital;</w:t>
      </w:r>
    </w:p>
    <w:p w14:paraId="2905A3C5" w14:textId="2652EA48" w:rsidR="00613738" w:rsidRPr="00613738" w:rsidRDefault="00CA6515" w:rsidP="00613738">
      <w:pPr>
        <w:numPr>
          <w:ilvl w:val="0"/>
          <w:numId w:val="4"/>
        </w:numPr>
        <w:spacing w:before="100" w:beforeAutospacing="1" w:after="100" w:afterAutospacing="1" w:line="240" w:lineRule="auto"/>
        <w:rPr>
          <w:rFonts w:ascii="Gill Sans MT" w:eastAsia="Times New Roman" w:hAnsi="Gill Sans MT" w:cs="Times New Roman"/>
          <w:sz w:val="24"/>
          <w:szCs w:val="24"/>
        </w:rPr>
      </w:pPr>
      <w:r>
        <w:rPr>
          <w:rFonts w:ascii="Gill Sans MT" w:eastAsia="Times New Roman" w:hAnsi="Gill Sans MT" w:cs="Times New Roman"/>
          <w:sz w:val="24"/>
          <w:szCs w:val="24"/>
        </w:rPr>
        <w:t xml:space="preserve">A </w:t>
      </w:r>
      <w:r w:rsidR="00613738" w:rsidRPr="00613738">
        <w:rPr>
          <w:rFonts w:ascii="Gill Sans MT" w:eastAsia="Times New Roman" w:hAnsi="Gill Sans MT" w:cs="Times New Roman"/>
          <w:sz w:val="24"/>
          <w:szCs w:val="24"/>
        </w:rPr>
        <w:t xml:space="preserve">Support </w:t>
      </w:r>
      <w:r>
        <w:rPr>
          <w:rFonts w:ascii="Gill Sans MT" w:eastAsia="Times New Roman" w:hAnsi="Gill Sans MT" w:cs="Times New Roman"/>
          <w:sz w:val="24"/>
          <w:szCs w:val="24"/>
        </w:rPr>
        <w:t xml:space="preserve">to </w:t>
      </w:r>
      <w:r w:rsidR="00613738" w:rsidRPr="00613738">
        <w:rPr>
          <w:rFonts w:ascii="Gill Sans MT" w:eastAsia="Times New Roman" w:hAnsi="Gill Sans MT" w:cs="Times New Roman"/>
          <w:sz w:val="24"/>
          <w:szCs w:val="24"/>
        </w:rPr>
        <w:t>Ngali in positioning the land parcels to attract credible and capable development partners.</w:t>
      </w:r>
    </w:p>
    <w:p w14:paraId="61015B76" w14:textId="586885C5" w:rsidR="00613738" w:rsidRPr="00BD4B70" w:rsidRDefault="00613738" w:rsidP="00613738">
      <w:pPr>
        <w:spacing w:after="0"/>
        <w:ind w:left="-450" w:right="90"/>
        <w:jc w:val="both"/>
      </w:pPr>
    </w:p>
    <w:p w14:paraId="75334DA4" w14:textId="77777777" w:rsidR="00613738" w:rsidRDefault="00613738" w:rsidP="00613738">
      <w:pPr>
        <w:spacing w:after="0"/>
        <w:jc w:val="both"/>
        <w:rPr>
          <w:rFonts w:ascii="Times New Roman" w:hAnsi="Times New Roman" w:cs="Times New Roman"/>
          <w:b/>
          <w:sz w:val="24"/>
          <w:szCs w:val="24"/>
        </w:rPr>
      </w:pPr>
    </w:p>
    <w:p w14:paraId="4C367BFF" w14:textId="77777777" w:rsidR="00613738" w:rsidRPr="00CA6515" w:rsidRDefault="00613738" w:rsidP="00613738">
      <w:pPr>
        <w:spacing w:after="0"/>
        <w:jc w:val="both"/>
        <w:rPr>
          <w:rFonts w:ascii="Gill Sans MT" w:hAnsi="Gill Sans MT" w:cs="Times New Roman"/>
          <w:b/>
          <w:sz w:val="24"/>
          <w:szCs w:val="24"/>
        </w:rPr>
      </w:pPr>
      <w:r w:rsidRPr="00CA6515">
        <w:rPr>
          <w:rFonts w:ascii="Gill Sans MT" w:hAnsi="Gill Sans MT" w:cs="Times New Roman"/>
          <w:b/>
          <w:sz w:val="24"/>
          <w:szCs w:val="24"/>
        </w:rPr>
        <w:t>Requested by                                                                 Approved by</w:t>
      </w:r>
    </w:p>
    <w:p w14:paraId="613FC35F" w14:textId="77777777" w:rsidR="00613738" w:rsidRPr="00CA6515" w:rsidRDefault="00613738" w:rsidP="00613738">
      <w:pPr>
        <w:spacing w:after="0"/>
        <w:jc w:val="both"/>
        <w:rPr>
          <w:rFonts w:ascii="Gill Sans MT" w:hAnsi="Gill Sans MT" w:cs="Times New Roman"/>
          <w:b/>
          <w:sz w:val="24"/>
          <w:szCs w:val="24"/>
        </w:rPr>
      </w:pPr>
    </w:p>
    <w:p w14:paraId="6636F644" w14:textId="77777777" w:rsidR="00613738" w:rsidRPr="00CA6515" w:rsidRDefault="00613738" w:rsidP="00613738">
      <w:pPr>
        <w:spacing w:after="0"/>
        <w:jc w:val="both"/>
        <w:rPr>
          <w:rFonts w:ascii="Gill Sans MT" w:hAnsi="Gill Sans MT" w:cs="Times New Roman"/>
          <w:b/>
          <w:sz w:val="24"/>
          <w:szCs w:val="24"/>
        </w:rPr>
      </w:pPr>
      <w:r w:rsidRPr="00CA6515">
        <w:rPr>
          <w:rFonts w:ascii="Gill Sans MT" w:hAnsi="Gill Sans MT" w:cs="Times New Roman"/>
          <w:b/>
          <w:sz w:val="24"/>
          <w:szCs w:val="24"/>
        </w:rPr>
        <w:t xml:space="preserve">John NDUNGUTSE                                                      Joseph BUTERA                                             </w:t>
      </w:r>
    </w:p>
    <w:p w14:paraId="659277FA" w14:textId="77777777" w:rsidR="00613738" w:rsidRPr="00CA6515" w:rsidRDefault="00613738" w:rsidP="00613738">
      <w:pPr>
        <w:spacing w:after="0"/>
        <w:jc w:val="both"/>
        <w:rPr>
          <w:rFonts w:ascii="Gill Sans MT" w:hAnsi="Gill Sans MT" w:cs="Times New Roman"/>
          <w:b/>
          <w:sz w:val="24"/>
          <w:szCs w:val="24"/>
        </w:rPr>
      </w:pPr>
      <w:r w:rsidRPr="00CA6515">
        <w:rPr>
          <w:rFonts w:ascii="Gill Sans MT" w:hAnsi="Gill Sans MT" w:cs="Times New Roman"/>
          <w:b/>
          <w:sz w:val="24"/>
          <w:szCs w:val="24"/>
        </w:rPr>
        <w:t>Group Head of Investments                                         Chief Executive officer</w:t>
      </w:r>
    </w:p>
    <w:p w14:paraId="15B4BAE7" w14:textId="77777777" w:rsidR="006F1497" w:rsidRDefault="006F1497"/>
    <w:sectPr w:rsidR="006F1497" w:rsidSect="0082180A">
      <w:headerReference w:type="default" r:id="rId5"/>
      <w:footerReference w:type="default" r:id="rId6"/>
      <w:pgSz w:w="12240" w:h="15840"/>
      <w:pgMar w:top="1440" w:right="99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A86B" w14:textId="77777777" w:rsidR="009F745F" w:rsidRDefault="0054650A">
    <w:pPr>
      <w:pStyle w:val="Footer"/>
      <w:jc w:val="center"/>
    </w:pPr>
  </w:p>
  <w:p w14:paraId="2AF9CDA4" w14:textId="77777777" w:rsidR="009F745F" w:rsidRDefault="0054650A" w:rsidP="008F4082">
    <w:pPr>
      <w:pStyle w:val="Footer"/>
      <w:tabs>
        <w:tab w:val="clear" w:pos="4680"/>
        <w:tab w:val="clear" w:pos="9360"/>
        <w:tab w:val="left" w:pos="5950"/>
      </w:tabs>
    </w:pPr>
    <w:r>
      <w:rPr>
        <w:noProof/>
      </w:rPr>
      <w:drawing>
        <wp:anchor distT="0" distB="0" distL="114300" distR="114300" simplePos="0" relativeHeight="251660288" behindDoc="0" locked="0" layoutInCell="1" allowOverlap="1" wp14:anchorId="79C5BC1C" wp14:editId="31CE7FCD">
          <wp:simplePos x="0" y="0"/>
          <wp:positionH relativeFrom="margin">
            <wp:posOffset>-1285875</wp:posOffset>
          </wp:positionH>
          <wp:positionV relativeFrom="margin">
            <wp:posOffset>8591550</wp:posOffset>
          </wp:positionV>
          <wp:extent cx="8582025" cy="523875"/>
          <wp:effectExtent l="0" t="0" r="9525" b="9525"/>
          <wp:wrapSquare wrapText="bothSides"/>
          <wp:docPr id="35" name="Picture 35" descr="C:\Users\Hp\Desktop\Ngali\footer N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gali\footer NH-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20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6817" w14:textId="77777777" w:rsidR="009F745F" w:rsidRDefault="0054650A">
    <w:pPr>
      <w:pStyle w:val="Header"/>
    </w:pPr>
    <w:r>
      <w:rPr>
        <w:noProof/>
      </w:rPr>
      <w:drawing>
        <wp:anchor distT="0" distB="0" distL="114300" distR="114300" simplePos="0" relativeHeight="251659264" behindDoc="0" locked="0" layoutInCell="1" allowOverlap="1" wp14:anchorId="1F67B633" wp14:editId="68C5727B">
          <wp:simplePos x="0" y="0"/>
          <wp:positionH relativeFrom="column">
            <wp:posOffset>-204470</wp:posOffset>
          </wp:positionH>
          <wp:positionV relativeFrom="paragraph">
            <wp:posOffset>-430530</wp:posOffset>
          </wp:positionV>
          <wp:extent cx="1741805" cy="864870"/>
          <wp:effectExtent l="0" t="0" r="0" b="0"/>
          <wp:wrapNone/>
          <wp:docPr id="32" name="Image 2" descr="C:\Users\Gael\Desktop\letterheads\letter head up - hol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C:\Users\Gael\Desktop\letterheads\letter head up - holding.png"/>
                  <pic:cNvPicPr/>
                </pic:nvPicPr>
                <pic:blipFill rotWithShape="1">
                  <a:blip r:embed="rId1">
                    <a:extLst>
                      <a:ext uri="{28A0092B-C50C-407E-A947-70E740481C1C}">
                        <a14:useLocalDpi xmlns:a14="http://schemas.microsoft.com/office/drawing/2010/main" val="0"/>
                      </a:ext>
                    </a:extLst>
                  </a:blip>
                  <a:srcRect t="24417" r="23122" b="-1"/>
                  <a:stretch/>
                </pic:blipFill>
                <pic:spPr bwMode="auto">
                  <a:xfrm>
                    <a:off x="0" y="0"/>
                    <a:ext cx="1741805" cy="86487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F4ED1"/>
    <w:multiLevelType w:val="multilevel"/>
    <w:tmpl w:val="00066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20522"/>
    <w:multiLevelType w:val="hybridMultilevel"/>
    <w:tmpl w:val="4F827E1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55829"/>
    <w:multiLevelType w:val="hybridMultilevel"/>
    <w:tmpl w:val="B866C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E02D19"/>
    <w:multiLevelType w:val="hybridMultilevel"/>
    <w:tmpl w:val="9380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38"/>
    <w:rsid w:val="0054650A"/>
    <w:rsid w:val="00613738"/>
    <w:rsid w:val="006F1497"/>
    <w:rsid w:val="0075618F"/>
    <w:rsid w:val="00CA6515"/>
    <w:rsid w:val="00DA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58BE"/>
  <w15:chartTrackingRefBased/>
  <w15:docId w15:val="{33FCB74D-FD28-4707-A9FA-05126DB8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3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738"/>
  </w:style>
  <w:style w:type="paragraph" w:styleId="Header">
    <w:name w:val="header"/>
    <w:basedOn w:val="Normal"/>
    <w:link w:val="HeaderChar"/>
    <w:uiPriority w:val="99"/>
    <w:unhideWhenUsed/>
    <w:rsid w:val="00613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738"/>
  </w:style>
  <w:style w:type="paragraph" w:styleId="NormalWeb">
    <w:name w:val="Normal (Web)"/>
    <w:basedOn w:val="Normal"/>
    <w:uiPriority w:val="99"/>
    <w:unhideWhenUsed/>
    <w:rsid w:val="00613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NDUNGUTSE</dc:creator>
  <cp:keywords/>
  <dc:description/>
  <cp:lastModifiedBy>John NDUNGUTSE</cp:lastModifiedBy>
  <cp:revision>1</cp:revision>
  <cp:lastPrinted>2025-12-18T09:51:00Z</cp:lastPrinted>
  <dcterms:created xsi:type="dcterms:W3CDTF">2025-12-18T09:24:00Z</dcterms:created>
  <dcterms:modified xsi:type="dcterms:W3CDTF">2025-12-18T14:13:00Z</dcterms:modified>
</cp:coreProperties>
</file>